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4BF1B" w14:textId="4278CEA4" w:rsidR="00BB1056" w:rsidRDefault="00BB1056" w:rsidP="00BB1056">
      <w:pPr>
        <w:rPr>
          <w:rFonts w:ascii="Calibri" w:eastAsia="Times New Roman" w:hAnsi="Calibri" w:cs="Calibri"/>
          <w:sz w:val="22"/>
          <w:szCs w:val="22"/>
          <w:lang w:eastAsia="nl-NL"/>
          <w14:ligatures w14:val="none"/>
        </w:rPr>
      </w:pPr>
      <w:r>
        <w:rPr>
          <w:rFonts w:ascii="Calibri" w:eastAsia="Times New Roman" w:hAnsi="Calibri" w:cs="Calibri"/>
          <w:b/>
          <w:bCs/>
          <w:sz w:val="22"/>
          <w:szCs w:val="22"/>
          <w:lang w:eastAsia="nl-NL"/>
          <w14:ligatures w14:val="none"/>
        </w:rPr>
        <w:t>Van:</w:t>
      </w:r>
      <w:r>
        <w:rPr>
          <w:rFonts w:ascii="Calibri" w:eastAsia="Times New Roman" w:hAnsi="Calibri" w:cs="Calibri"/>
          <w:sz w:val="22"/>
          <w:szCs w:val="22"/>
          <w:lang w:eastAsia="nl-NL"/>
          <w14:ligatures w14:val="none"/>
        </w:rPr>
        <w:t xml:space="preserve"> </w:t>
      </w:r>
      <w:r w:rsidR="00B5126A">
        <w:rPr>
          <w:rFonts w:ascii="Calibri" w:eastAsia="Times New Roman" w:hAnsi="Calibri" w:cs="Calibri"/>
          <w:sz w:val="22"/>
          <w:szCs w:val="22"/>
          <w:lang w:eastAsia="nl-NL"/>
          <w14:ligatures w14:val="none"/>
        </w:rPr>
        <w:t>Gemeente Cranendonck</w:t>
      </w:r>
      <w:r>
        <w:rPr>
          <w:rFonts w:ascii="Calibri" w:eastAsia="Times New Roman" w:hAnsi="Calibri" w:cs="Calibri"/>
          <w:sz w:val="22"/>
          <w:szCs w:val="22"/>
          <w:lang w:eastAsia="nl-NL"/>
          <w14:ligatures w14:val="none"/>
        </w:rPr>
        <w:br/>
      </w:r>
      <w:r>
        <w:rPr>
          <w:rFonts w:ascii="Calibri" w:eastAsia="Times New Roman" w:hAnsi="Calibri" w:cs="Calibri"/>
          <w:b/>
          <w:bCs/>
          <w:sz w:val="22"/>
          <w:szCs w:val="22"/>
          <w:lang w:eastAsia="nl-NL"/>
          <w14:ligatures w14:val="none"/>
        </w:rPr>
        <w:t>Verzonden:</w:t>
      </w:r>
      <w:r>
        <w:rPr>
          <w:rFonts w:ascii="Calibri" w:eastAsia="Times New Roman" w:hAnsi="Calibri" w:cs="Calibri"/>
          <w:sz w:val="22"/>
          <w:szCs w:val="22"/>
          <w:lang w:eastAsia="nl-NL"/>
          <w14:ligatures w14:val="none"/>
        </w:rPr>
        <w:t xml:space="preserve"> vrijdag 17 april 2026 07:50</w:t>
      </w:r>
      <w:r>
        <w:rPr>
          <w:rFonts w:ascii="Calibri" w:eastAsia="Times New Roman" w:hAnsi="Calibri" w:cs="Calibri"/>
          <w:sz w:val="22"/>
          <w:szCs w:val="22"/>
          <w:lang w:eastAsia="nl-NL"/>
          <w14:ligatures w14:val="none"/>
        </w:rPr>
        <w:br/>
      </w:r>
      <w:r>
        <w:rPr>
          <w:rFonts w:ascii="Calibri" w:eastAsia="Times New Roman" w:hAnsi="Calibri" w:cs="Calibri"/>
          <w:b/>
          <w:bCs/>
          <w:sz w:val="22"/>
          <w:szCs w:val="22"/>
          <w:lang w:eastAsia="nl-NL"/>
          <w14:ligatures w14:val="none"/>
        </w:rPr>
        <w:t>Aan:</w:t>
      </w:r>
      <w:r>
        <w:rPr>
          <w:rFonts w:ascii="Calibri" w:eastAsia="Times New Roman" w:hAnsi="Calibri" w:cs="Calibri"/>
          <w:sz w:val="22"/>
          <w:szCs w:val="22"/>
          <w:lang w:eastAsia="nl-NL"/>
          <w14:ligatures w14:val="none"/>
        </w:rPr>
        <w:t xml:space="preserve"> </w:t>
      </w:r>
    </w:p>
    <w:p w14:paraId="08F5A463" w14:textId="77777777" w:rsidR="00BB1056" w:rsidRDefault="00BB1056" w:rsidP="00BB1056"/>
    <w:p w14:paraId="52B02276" w14:textId="77777777" w:rsidR="00BB1056" w:rsidRDefault="00BB1056" w:rsidP="00BB1056">
      <w:r>
        <w:t xml:space="preserve">Beste betrokkene, </w:t>
      </w:r>
    </w:p>
    <w:p w14:paraId="4A26E10F" w14:textId="77777777" w:rsidR="00BB1056" w:rsidRDefault="00BB1056" w:rsidP="00BB1056"/>
    <w:p w14:paraId="5094CE45" w14:textId="77777777" w:rsidR="00BB1056" w:rsidRDefault="00BB1056" w:rsidP="00BB1056">
      <w:pPr>
        <w:rPr>
          <w:b/>
          <w:bCs/>
        </w:rPr>
      </w:pPr>
      <w:r>
        <w:rPr>
          <w:b/>
          <w:bCs/>
        </w:rPr>
        <w:t>Doelgroepenverordening</w:t>
      </w:r>
    </w:p>
    <w:p w14:paraId="77BA1464" w14:textId="77777777" w:rsidR="00BB1056" w:rsidRDefault="00BB1056" w:rsidP="00BB1056">
      <w:r>
        <w:t>De gemeente Cranendonck hanteert een regeling voor sociale koopwoningen, vastgelegd in de Doelgroepenverordening gemeente Cranendonck 2022. Op grond van deze regeling geldt voor sociale koopwoningen onder meer een maximale koopprijs van € 250.000 vrij op naam, met een jaarlijkse indexering. Daarnaast geldt een instandhoudingstermijn van tien jaar na eerste ingebruikname, waarin de woning voor de doelgroep beschikbaar dient te blijven. Concreet houden deze verplichtingen in dat –als de koper zijn/haar woning binnen een termijn van tien jaar wenst te verkopen – hij/zij die woning alleen mag verkopen als sociale koopwoning. Dat betekent dat de verkoopprijs is gemaximeerd (gereguleerd) en dat uitsluitend aan een bepaalde doelgroep mag worden verkocht. Als de koper die verplichting niet naleeft, dan verbeurt de koper een contractuele boete, welke haar grondslag vindt in de anterieure overeenkomst, aan de gemeente.</w:t>
      </w:r>
    </w:p>
    <w:p w14:paraId="38AD2CAD" w14:textId="77777777" w:rsidR="00BB1056" w:rsidRDefault="00BB1056" w:rsidP="00BB1056"/>
    <w:p w14:paraId="6697B57F" w14:textId="77777777" w:rsidR="00BB1056" w:rsidRDefault="00BB1056" w:rsidP="00BB1056">
      <w:pPr>
        <w:rPr>
          <w:b/>
          <w:bCs/>
        </w:rPr>
      </w:pPr>
      <w:r>
        <w:rPr>
          <w:b/>
          <w:bCs/>
        </w:rPr>
        <w:t>Probleemstelling</w:t>
      </w:r>
    </w:p>
    <w:p w14:paraId="651AC25E" w14:textId="77777777" w:rsidR="00BB1056" w:rsidRDefault="00BB1056" w:rsidP="00BB1056">
      <w:r>
        <w:t>Binnen de gemeente Cranendonck is een impasse ontstaan bij de (door)verkoop en financiering van sociale koopwoningen die onder de Doelgroepenverordening 2022 vallen. Financiering wordt door sommige partijen geweigerd, omdat zij menen dat deze woningen niet kwalificeren als eigen woning voor de inkomstenbelasting. Dit zou betekenen dat kopers geen recht hebben op hypotheekrenteaftrek. Ook de Belastingdienst is van mening dat de sociale koopwoningen die onder de doelgroepen-verordening van de gemeente Cranendonck vallen niet kwalificeren als eigen woning voor de inkomstenbelasting.</w:t>
      </w:r>
    </w:p>
    <w:p w14:paraId="4E9F8C4E" w14:textId="77777777" w:rsidR="00BB1056" w:rsidRDefault="00BB1056" w:rsidP="00BB1056"/>
    <w:p w14:paraId="59D66559" w14:textId="77777777" w:rsidR="00BB1056" w:rsidRDefault="00BB1056" w:rsidP="00BB1056">
      <w:pPr>
        <w:rPr>
          <w:b/>
          <w:bCs/>
        </w:rPr>
      </w:pPr>
      <w:r>
        <w:rPr>
          <w:b/>
          <w:bCs/>
        </w:rPr>
        <w:t>Wettelijk kader “eigen woningregeling”</w:t>
      </w:r>
    </w:p>
    <w:p w14:paraId="10FAFF72" w14:textId="77777777" w:rsidR="00BB1056" w:rsidRDefault="00BB1056" w:rsidP="00BB1056">
      <w:r>
        <w:t>De fiscale kwalificatie van een woning als ‘eigen woning’ in de zin van de Wet IB 2001 is geregeld in artikel 3.111 Wet IB 2001. Voor toepassing van de eigen woningregeling gelden de volgende cumulatieve voorwaarden:</w:t>
      </w:r>
    </w:p>
    <w:p w14:paraId="0826726A" w14:textId="77777777" w:rsidR="00BB1056" w:rsidRDefault="00BB1056" w:rsidP="00BB1056">
      <w:pPr>
        <w:numPr>
          <w:ilvl w:val="0"/>
          <w:numId w:val="1"/>
        </w:numPr>
        <w:rPr>
          <w:rFonts w:eastAsia="Times New Roman"/>
        </w:rPr>
      </w:pPr>
      <w:r>
        <w:rPr>
          <w:rFonts w:eastAsia="Times New Roman"/>
        </w:rPr>
        <w:t>De woning staat de belastingplichtige of diens partner anders dan tijdelijk als hoofdverblijf ter beschikking, op grond van eigendom (waaronder begrepen economische eigendom) of een recht van lidmaatschap van een coöperatie.</w:t>
      </w:r>
    </w:p>
    <w:p w14:paraId="45FFF040" w14:textId="77777777" w:rsidR="00BB1056" w:rsidRDefault="00BB1056" w:rsidP="00BB1056">
      <w:pPr>
        <w:numPr>
          <w:ilvl w:val="0"/>
          <w:numId w:val="1"/>
        </w:numPr>
        <w:rPr>
          <w:rFonts w:eastAsia="Times New Roman"/>
        </w:rPr>
      </w:pPr>
      <w:r>
        <w:rPr>
          <w:rFonts w:eastAsia="Times New Roman"/>
        </w:rPr>
        <w:t>De voordelen uit de woning komen toe aan de belastingplichtige of diens partner, en de kosten en lasten van de woning drukken op hen.</w:t>
      </w:r>
    </w:p>
    <w:p w14:paraId="06B09362" w14:textId="77777777" w:rsidR="00BB1056" w:rsidRDefault="00BB1056" w:rsidP="00BB1056">
      <w:pPr>
        <w:numPr>
          <w:ilvl w:val="0"/>
          <w:numId w:val="1"/>
        </w:numPr>
        <w:rPr>
          <w:rFonts w:eastAsia="Times New Roman"/>
        </w:rPr>
      </w:pPr>
      <w:r>
        <w:rPr>
          <w:rFonts w:eastAsia="Times New Roman"/>
        </w:rPr>
        <w:t>De waardeverandering van de woning gaat de belastingplichtige of diens partner grotendeels aan.</w:t>
      </w:r>
    </w:p>
    <w:p w14:paraId="3F12B8B2" w14:textId="77777777" w:rsidR="00BB1056" w:rsidRDefault="00BB1056" w:rsidP="00BB1056">
      <w:r>
        <w:t xml:space="preserve">Onderdeel 3 is voor de onderhavige situatie met name van belang. Voor de toepassing van de eigenwoningregeling is (dus) niet alleen van belang dat sprake is van (economisch) eigendom, maar ook dat de belastingplichtige een voldoende belang heeft bij de waardeontwikkeling van de woning. In een beleidsbesluit uit 2009 heeft de Staatssecretaris van Financiën het een en ander nader uitgelegd. Hierin komt naar voren dat de regeling vereist dat de belastingplichtige op elk moment vanaf de aankoop </w:t>
      </w:r>
      <w:r>
        <w:lastRenderedPageBreak/>
        <w:t>van de woning een belang heeft van ten minste 50% bij de waardeontwikkeling, zowel bij waardestijging als waardedaling.</w:t>
      </w:r>
    </w:p>
    <w:p w14:paraId="4C4450F1" w14:textId="77777777" w:rsidR="00BB1056" w:rsidRDefault="00BB1056" w:rsidP="00BB1056"/>
    <w:p w14:paraId="73E203F1" w14:textId="77777777" w:rsidR="00BB1056" w:rsidRDefault="00BB1056" w:rsidP="00BB1056">
      <w:pPr>
        <w:rPr>
          <w:b/>
          <w:bCs/>
        </w:rPr>
      </w:pPr>
      <w:r>
        <w:rPr>
          <w:b/>
          <w:bCs/>
        </w:rPr>
        <w:t>Standpunt Belastingdienst</w:t>
      </w:r>
    </w:p>
    <w:p w14:paraId="40BE1EF3" w14:textId="77777777" w:rsidR="00BB1056" w:rsidRDefault="00BB1056" w:rsidP="00BB1056">
      <w:r>
        <w:t xml:space="preserve">De Belastingdienst, in de persoon van de voorzitter van de kennisgroep onroerend goed, stelt dat wanneer woningen gedurende tien jaar slechts mogen worden vervreemd tegen een geïndexeerde koopprijs (CPI), de koper feitelijk geen recht heeft op ten minste 50% van de daadwerkelijke waardeontwikkeling. De CPI kan immers sterk afwijken van de marktontwikkeling. Het </w:t>
      </w:r>
      <w:r>
        <w:rPr>
          <w:u w:val="single"/>
        </w:rPr>
        <w:t>enkele gegeven dat de verkoopprijs is gereguleerd</w:t>
      </w:r>
      <w:r>
        <w:t xml:space="preserve"> maakt het standpunt van de Belastingdienst. Volgens dit standpunt:</w:t>
      </w:r>
    </w:p>
    <w:p w14:paraId="58B6276B" w14:textId="77777777" w:rsidR="00BB1056" w:rsidRDefault="00BB1056" w:rsidP="00BB1056">
      <w:pPr>
        <w:numPr>
          <w:ilvl w:val="0"/>
          <w:numId w:val="2"/>
        </w:numPr>
        <w:rPr>
          <w:rFonts w:eastAsia="Times New Roman"/>
        </w:rPr>
      </w:pPr>
      <w:r>
        <w:rPr>
          <w:rFonts w:eastAsia="Times New Roman"/>
        </w:rPr>
        <w:t>Is geen sprake van een eigen woning;</w:t>
      </w:r>
    </w:p>
    <w:p w14:paraId="5F131739" w14:textId="77777777" w:rsidR="00BB1056" w:rsidRDefault="00BB1056" w:rsidP="00BB1056">
      <w:pPr>
        <w:numPr>
          <w:ilvl w:val="0"/>
          <w:numId w:val="2"/>
        </w:numPr>
        <w:rPr>
          <w:rFonts w:eastAsia="Times New Roman"/>
        </w:rPr>
      </w:pPr>
      <w:r>
        <w:rPr>
          <w:rFonts w:eastAsia="Times New Roman"/>
        </w:rPr>
        <w:t>Bestaat geen recht op hypotheekrenteaftrek;</w:t>
      </w:r>
    </w:p>
    <w:p w14:paraId="7A6EE05D" w14:textId="77777777" w:rsidR="00BB1056" w:rsidRDefault="00BB1056" w:rsidP="00BB1056">
      <w:pPr>
        <w:numPr>
          <w:ilvl w:val="0"/>
          <w:numId w:val="2"/>
        </w:numPr>
        <w:rPr>
          <w:rFonts w:eastAsia="Times New Roman"/>
        </w:rPr>
      </w:pPr>
      <w:r>
        <w:rPr>
          <w:rFonts w:eastAsia="Times New Roman"/>
        </w:rPr>
        <w:t>Valt de woning (tijdelijk) in box 3.</w:t>
      </w:r>
    </w:p>
    <w:p w14:paraId="0AA236E4" w14:textId="77777777" w:rsidR="00BB1056" w:rsidRDefault="00BB1056" w:rsidP="00BB1056"/>
    <w:p w14:paraId="0C2079E9" w14:textId="77777777" w:rsidR="00BB1056" w:rsidRDefault="00BB1056" w:rsidP="00BB1056">
      <w:r>
        <w:t>De Belastingdienst accepteert wel (kort gezegd) een expliciet vormgegeven antispeculatiebeding dat lineair afloopt binnen 10 jaar (max.)</w:t>
      </w:r>
    </w:p>
    <w:p w14:paraId="54F19225" w14:textId="77777777" w:rsidR="00BB1056" w:rsidRDefault="00BB1056" w:rsidP="00BB1056"/>
    <w:p w14:paraId="52807F9D" w14:textId="77777777" w:rsidR="00BB1056" w:rsidRDefault="00BB1056" w:rsidP="00BB1056">
      <w:pPr>
        <w:rPr>
          <w:b/>
          <w:bCs/>
        </w:rPr>
      </w:pPr>
      <w:r>
        <w:rPr>
          <w:b/>
          <w:bCs/>
        </w:rPr>
        <w:t>Standpunt LEX Fiscalisten, geconsulteerd door gemeente Cranendonck</w:t>
      </w:r>
    </w:p>
    <w:p w14:paraId="26AC92A3" w14:textId="77777777" w:rsidR="00BB1056" w:rsidRDefault="00BB1056" w:rsidP="00BB1056">
      <w:r>
        <w:t xml:space="preserve">Ofschoon een sociale koopwoning, die onder de doelgroepenverordening valt, enkel tegen een gereguleerde prijs “mag” worden verkocht, wil dat niet zeggen dat een dergelijke woning niet tegen de marktwaarde “kan” worden verkocht. Indien verkoop tegen marktwaarde binnen tien jaar per definitie onmogelijk zou zijn, zou een boetebepaling, die voortkomt uit de anterieure overeenkomst, ook overbodig zijn. Wanneer de hoogte van de nominale boete vervolgens overeenkomt met, of lager is dan, een koperskorting is het verdedigbaar te stellen dat er kan worden gesproken van een "eigen woning". In dat geval kan de boete worden vergeleken met een (nominale) nabetaling van een koperskorting die voortvloeit uit contractuele afspraken, zonder dat daarmee een rechtstreeks verband bestaat met de waardeontwikkeling van de woning. De boete raakt in dat geval niet het eigendomsrecht zelf en laat onverlet dat de koper economisch gerechtigd blijft tot de volledige waardestijging en daling van de woning. </w:t>
      </w:r>
    </w:p>
    <w:p w14:paraId="45824092" w14:textId="77777777" w:rsidR="00BB1056" w:rsidRDefault="00BB1056" w:rsidP="00BB1056"/>
    <w:p w14:paraId="30F3F436" w14:textId="77777777" w:rsidR="00BB1056" w:rsidRDefault="00BB1056" w:rsidP="00BB1056">
      <w:pPr>
        <w:rPr>
          <w:b/>
          <w:bCs/>
        </w:rPr>
      </w:pPr>
      <w:r>
        <w:rPr>
          <w:b/>
          <w:bCs/>
        </w:rPr>
        <w:t>Aanpassen</w:t>
      </w:r>
    </w:p>
    <w:p w14:paraId="19EC86EC" w14:textId="77777777" w:rsidR="00BB1056" w:rsidRDefault="00BB1056" w:rsidP="00BB1056">
      <w:r>
        <w:t xml:space="preserve">Bij de eerste meldingen ten aanzien van de eerdergenoemde probleemstelling waren we in de veronderstelling dat we de doelgroepenverordening op simpele wijze zouden kunnen wijzigen en/of aanpassen. Dit bleek echter juridisch niet toegestaan. De huidige Doelgroepenverordening 2022 </w:t>
      </w:r>
      <w:r>
        <w:rPr>
          <w:u w:val="single"/>
        </w:rPr>
        <w:t>kan</w:t>
      </w:r>
      <w:r>
        <w:t xml:space="preserve"> niet gewijzigd worden. Op 1 januari 2024 is de Omgevingswet ingegaan. Op die dag zijn alle bestaande ruimtelijke regels van de </w:t>
      </w:r>
      <w:proofErr w:type="gramStart"/>
      <w:r>
        <w:t>gemeente</w:t>
      </w:r>
      <w:proofErr w:type="gramEnd"/>
      <w:r>
        <w:t xml:space="preserve"> automatisch vastgelegd in het tijdelijke omgevingsplan. Zo ook de regels van de doelgroepenverordening 2022. Het tijdelijke omgevingsplan is een vaste momentopname van wat toen gold. De regels liggen voorlopig vast en kunnen niet zomaar worden aangepast. Pas als Gemeente Cranendonck een nieuw Omgevingsplan vaststelt, kunnen er weer wijzigingen worden gedaan. Voorafgaand aan het opstellen van dit nieuwe omgevingsplan, moet de gemeente een Omgevingsvisie maken. Hier werken we momenteel aan en deze wordt begin 2027 verwacht.  Meer info: </w:t>
      </w:r>
      <w:hyperlink r:id="rId5" w:history="1">
        <w:r>
          <w:rPr>
            <w:rStyle w:val="Hyperlink"/>
            <w:color w:val="0000FF"/>
          </w:rPr>
          <w:t>Bestaande gemeentelijke verordeningen en het omgevingsplan | Informatiepunt Leefomgeving</w:t>
        </w:r>
      </w:hyperlink>
    </w:p>
    <w:p w14:paraId="2200D444" w14:textId="77777777" w:rsidR="00BB1056" w:rsidRDefault="00BB1056" w:rsidP="00BB1056"/>
    <w:p w14:paraId="754405AC" w14:textId="77777777" w:rsidR="00B5126A" w:rsidRDefault="00B5126A" w:rsidP="00BB1056">
      <w:pPr>
        <w:rPr>
          <w:b/>
          <w:bCs/>
        </w:rPr>
      </w:pPr>
    </w:p>
    <w:p w14:paraId="14DC07F4" w14:textId="218B3A30" w:rsidR="00BB1056" w:rsidRDefault="00BB1056" w:rsidP="00BB1056">
      <w:pPr>
        <w:rPr>
          <w:b/>
          <w:bCs/>
        </w:rPr>
      </w:pPr>
      <w:r>
        <w:rPr>
          <w:b/>
          <w:bCs/>
        </w:rPr>
        <w:lastRenderedPageBreak/>
        <w:t>Nodig</w:t>
      </w:r>
    </w:p>
    <w:p w14:paraId="5829C78C" w14:textId="77777777" w:rsidR="00BB1056" w:rsidRDefault="00BB1056" w:rsidP="00BB1056">
      <w:r>
        <w:t xml:space="preserve">Uiteraard hebben we onderzocht of aanpassen überhaupt nodig bleek. Dit bleek niet het geval. </w:t>
      </w:r>
    </w:p>
    <w:p w14:paraId="55D930A2" w14:textId="77777777" w:rsidR="00BB1056" w:rsidRDefault="00BB1056" w:rsidP="00BB1056">
      <w:r>
        <w:t xml:space="preserve">De doelgroepenverordening draagt eraan bij om woningen, voor langere tijd, beschikbaar te houden voor een bepaalde doelgroep, in dit geval starters op de woningmarkt. In heel veel andere, ook omliggende gemeenten, zijn soortgelijke verordeningen van kracht. Hier is dus niets vreemds aan en onze verordening bevat geen elementen die, in vergelijking met andere doelgroepenverordeningen, totaal anders zijn omschreven. Daarnaast, de stelling van de Belastingdienst is primair dat sociale koopwoningen niet tegen gereguleerde verkoopprijzen mogen worden doorverkocht. Dit is echter de kern van de regeling, om woningen te behouden voor de doelgroep. Dit is de kern van alle, vergelijkbare, doelgroepenverordeningen. </w:t>
      </w:r>
    </w:p>
    <w:p w14:paraId="082B8A7A" w14:textId="77777777" w:rsidR="00BB1056" w:rsidRDefault="00BB1056" w:rsidP="00BB1056"/>
    <w:p w14:paraId="096C12B6" w14:textId="77777777" w:rsidR="00BB1056" w:rsidRDefault="00BB1056" w:rsidP="00BB1056">
      <w:r>
        <w:t xml:space="preserve">Bij een eerste aankoop staat de prijs vast, en komt er ook geen taxatie aan te pas. Alhoewel de verkoopprijs daar ook al is vastgesteld op die van de betaalbaarheidsgrens, en de doelgroepenverordening van kracht is, komt hier de financieringsvraag vaak nog niet prominent naar voor. De koper koopt de woning van de projectontwikkelaar en binnen deze koop wordt, met een aanvullende overeenkomst, een kettingbeding opgelegd dat de woning, mits de eigenaar deze binnen 10 jaar wil verkopen, voor een bepaald bedrag en aan een bepaalde doelgroep moet aanbieden. De doorverkoop levert in de praktijk de meest prangende vragen op. Zo moet er een taxatierapport worden overlegd met de financierder, terwijl de verkoop/aankoopprijs al zo goed als vaststaat. De CPI (consument prijsindex) van de woning is echter, zeker in deze verhitte woningmarkt, al hoger dan de aankoop/verkoop prijs van de woning. </w:t>
      </w:r>
    </w:p>
    <w:p w14:paraId="12167FED" w14:textId="77777777" w:rsidR="00BB1056" w:rsidRDefault="00BB1056" w:rsidP="00BB1056">
      <w:r>
        <w:t xml:space="preserve">Dit is een gegeven. De belastingdienst is hiermee bekend en onderstaand leest u hoe zij verwachten om hier in de toekomst mee om te kunnen gaan.  </w:t>
      </w:r>
    </w:p>
    <w:p w14:paraId="0436563B" w14:textId="77777777" w:rsidR="00BB1056" w:rsidRDefault="00BB1056" w:rsidP="00BB1056"/>
    <w:p w14:paraId="3396D293" w14:textId="77777777" w:rsidR="00BB1056" w:rsidRDefault="00BB1056" w:rsidP="00BB1056">
      <w:pPr>
        <w:rPr>
          <w:b/>
          <w:bCs/>
        </w:rPr>
      </w:pPr>
      <w:r>
        <w:rPr>
          <w:b/>
          <w:bCs/>
        </w:rPr>
        <w:t>Hoe verder</w:t>
      </w:r>
    </w:p>
    <w:p w14:paraId="3C1933A2" w14:textId="77777777" w:rsidR="00BB1056" w:rsidRDefault="00BB1056" w:rsidP="00BB1056">
      <w:r>
        <w:t xml:space="preserve">Zoals gezegd wordt niet verwacht dat de Belastingdienst in haar standpunt zal draaien. Voor hen maakt de hoogte van de boete bij verkoop geen verschil voor hun standpunt. Het gaat hen om het primaire gegeven dat sociale koopwoningen niet tegen de marktwaarde “mogen” worden doorverkocht, of, beter gezegd, enkel tegen gereguleerde verkoopprijzen. </w:t>
      </w:r>
    </w:p>
    <w:p w14:paraId="5080B400" w14:textId="77777777" w:rsidR="00BB1056" w:rsidRDefault="00BB1056" w:rsidP="00BB1056">
      <w:r>
        <w:t xml:space="preserve">Goedkeuring van de Belastingdienst </w:t>
      </w:r>
      <w:proofErr w:type="gramStart"/>
      <w:r>
        <w:t>inzake</w:t>
      </w:r>
      <w:proofErr w:type="gramEnd"/>
      <w:r>
        <w:t xml:space="preserve"> de kwalificatie als eigen woning, op grond van de huidige doelgroepenverordening van de gemeente Cranendonck over sociale koopwoningen, zal </w:t>
      </w:r>
      <w:proofErr w:type="gramStart"/>
      <w:r>
        <w:t>derhalve</w:t>
      </w:r>
      <w:proofErr w:type="gramEnd"/>
      <w:r>
        <w:t xml:space="preserve"> niet verkregen gaan worden. De Belastingdienst accepteert overigens wel een expliciet vormgegeven antispeculatiebeding dat lineair afloopt binnen (maximaal) tien jaar. </w:t>
      </w:r>
    </w:p>
    <w:p w14:paraId="29F09A86" w14:textId="5B791DFF" w:rsidR="00BB1056" w:rsidRPr="00BB1056" w:rsidRDefault="00BB1056" w:rsidP="00BB1056">
      <w:r>
        <w:rPr>
          <w:b/>
          <w:bCs/>
        </w:rPr>
        <w:t>Fiscale verzamelwet 2027</w:t>
      </w:r>
    </w:p>
    <w:p w14:paraId="0E64C7A5" w14:textId="77777777" w:rsidR="00BB1056" w:rsidRDefault="00BB1056" w:rsidP="00BB1056">
      <w:r>
        <w:t>Omdat het kabinet (op aangeven van het ministerie van Financiën) wil voorkomen dat kopers van een betaalbare/</w:t>
      </w:r>
      <w:proofErr w:type="gramStart"/>
      <w:r>
        <w:t>sociale  koopwoning</w:t>
      </w:r>
      <w:proofErr w:type="gramEnd"/>
      <w:r>
        <w:t xml:space="preserve"> hun fiscale behandeling als eigen woning verliezen, enkel vanwege het feit dat gemeenten voorwaarden stellen om die woning ook voor volgende kopers betaalbaar te houden, is er een wijziging beoogd van de eigen woningregeling (artikel 3.111 Wet IB 2001). Deze beoogde wijziging maakt onderdeel uit van de zogenoemde “Fiscale verzamelwet 2027”. Het voorstel wil dit op twee punten oplossen. Ten eerste is voorgesteld het bestaande beleid over lineair aflopende antispeculatiebedingen wettelijk vast te leggen. Ten tweede is voorgesteld </w:t>
      </w:r>
      <w:r>
        <w:lastRenderedPageBreak/>
        <w:t>dat er een aanvullende regeling komt voor tweede en volgende kopers van betaalbare/sociale koopwoningen, zodat ook zij onder voorwaarden binnen de eigenwoningregeling kunnen blijven vallen. De huidige status is dat het hier nog om een wetsvoorstel gaat. De internetconsultatie is inmiddels afgerond en de parlementaire behandeling moet nog volgen. Beoogd is dat de meeste onderdelen van deze voorgenomen verzamelwet per 1 januari 2027 in werking treden.</w:t>
      </w:r>
    </w:p>
    <w:p w14:paraId="4B4BCAED" w14:textId="77777777" w:rsidR="00BB1056" w:rsidRDefault="00BB1056" w:rsidP="00BB1056"/>
    <w:p w14:paraId="35B4B29A" w14:textId="77777777" w:rsidR="00BB1056" w:rsidRDefault="00BB1056" w:rsidP="00BB1056">
      <w:r>
        <w:rPr>
          <w:b/>
          <w:bCs/>
        </w:rPr>
        <w:t>Afronding</w:t>
      </w:r>
    </w:p>
    <w:p w14:paraId="703482E0" w14:textId="77777777" w:rsidR="00BB1056" w:rsidRDefault="00BB1056" w:rsidP="00BB1056">
      <w:r>
        <w:t xml:space="preserve">De doelgroepenverordening is en blijft van kracht. Indien wettelijk wordt opgelegd dat de antispeculatiebedingen een lineaire afloop moeten kennen, wordt dit daarbij, op dat moment, ook aan ons opgelegd en zullen we handvatten moeten krijgen om dit toe te kunnen passen binnen de huidige regelingen. Op dit moment kunnen we die lineair niet als zodanig toepassen. </w:t>
      </w:r>
    </w:p>
    <w:p w14:paraId="298DCFC6" w14:textId="77777777" w:rsidR="00BB1056" w:rsidRDefault="00BB1056" w:rsidP="00BB1056"/>
    <w:p w14:paraId="4068B745" w14:textId="77777777" w:rsidR="00BB1056" w:rsidRDefault="00BB1056" w:rsidP="00BB1056">
      <w:r>
        <w:t xml:space="preserve">Er zijn inmiddels binnen een 4-tal woningbouwprojecten starterswoningen verhandeld die onder de huidige doelgroepenverordening vallen. Hiervan is er, zover we kunnen nagaan, slechts 1 binnen de termijn van 10 jaar aangeboden voor verkoop door de eerste koper. We hebben deze koper gesproken. Deze is voornemens om de bepalingen, opgelegd in de anterieure overeenkomst, te eerbiedigen en zal de woning tegen de afgesproken, gereduceerde prijs, </w:t>
      </w:r>
      <w:proofErr w:type="gramStart"/>
      <w:r>
        <w:t>conform</w:t>
      </w:r>
      <w:proofErr w:type="gramEnd"/>
      <w:r>
        <w:t xml:space="preserve"> afspraak, verkopen aan een starter. Er hebben zich starters gemeld die interesse hebben in de woning en zover we konden nagaan, hebben deze inmiddels financieringsafspraken kunnen maken om de koop mogelijk te maken.  Dat de Belastingdienst hier mogelijk gevolgen aan verbindt is een zaak tussen koper en Belastingdienst. De gemeente is hierin, de facto, geen partij. </w:t>
      </w:r>
    </w:p>
    <w:p w14:paraId="0C4BB1D4" w14:textId="77777777" w:rsidR="00BB1056" w:rsidRDefault="00BB1056" w:rsidP="00BB1056">
      <w:r>
        <w:t xml:space="preserve">De Belastingdienst is op de hoogte van de zienswijze van de gemeente. De Belastingdienst is op de hoogte dat deze kwestie in meerdere gemeenten in Nederland speelt en laat, met het voorgenomen wetsvoorstel, zien dat ze werkt aan een oplossing in deze. Dit laatste sterkt ons in de aanname dat we verwachten dat de Belastingdienst de kopers van starterwoningen niet financieel zal benadelen door hen de hypotheekrenteaftrek te ontzeggen, ook al is dat, volgens de zienswijze van de Belastingdienst, wel een mogelijkheid. </w:t>
      </w:r>
    </w:p>
    <w:p w14:paraId="4EF1CABC" w14:textId="77777777" w:rsidR="00BB1056" w:rsidRDefault="00BB1056" w:rsidP="00BB1056"/>
    <w:p w14:paraId="2CFB7B65" w14:textId="77777777" w:rsidR="00BB1056" w:rsidRDefault="00BB1056" w:rsidP="00BB1056">
      <w:r>
        <w:t xml:space="preserve">Hopende u hiermee voldoende te hebben geïnformeerd, verblijf ik, </w:t>
      </w:r>
    </w:p>
    <w:p w14:paraId="05D29E1C" w14:textId="7F752F51" w:rsidR="00BB1056" w:rsidRDefault="00BB1056" w:rsidP="00BB1056">
      <w:r>
        <w:t xml:space="preserve">Met vriendelijke groet,  </w:t>
      </w:r>
    </w:p>
    <w:p w14:paraId="7C083C5C" w14:textId="77777777" w:rsidR="00BB1056" w:rsidRDefault="00BB1056" w:rsidP="00BB1056"/>
    <w:tbl>
      <w:tblPr>
        <w:tblW w:w="9150" w:type="dxa"/>
        <w:tblCellMar>
          <w:left w:w="0" w:type="dxa"/>
          <w:right w:w="0" w:type="dxa"/>
        </w:tblCellMar>
        <w:tblLook w:val="04A0" w:firstRow="1" w:lastRow="0" w:firstColumn="1" w:lastColumn="0" w:noHBand="0" w:noVBand="1"/>
      </w:tblPr>
      <w:tblGrid>
        <w:gridCol w:w="9150"/>
      </w:tblGrid>
      <w:tr w:rsidR="00BB1056" w14:paraId="26EF1EAB" w14:textId="77777777">
        <w:trPr>
          <w:trHeight w:val="270"/>
        </w:trPr>
        <w:tc>
          <w:tcPr>
            <w:tcW w:w="9150" w:type="dxa"/>
            <w:vAlign w:val="center"/>
            <w:hideMark/>
          </w:tcPr>
          <w:p w14:paraId="63008B5B" w14:textId="3E0275FD" w:rsidR="00BB1056" w:rsidRDefault="00BB1056">
            <w:pPr>
              <w:spacing w:line="252" w:lineRule="atLeast"/>
              <w:rPr>
                <w:rFonts w:ascii="Calibri" w:hAnsi="Calibri" w:cs="Calibri"/>
                <w:color w:val="747474"/>
                <w:sz w:val="22"/>
                <w:szCs w:val="22"/>
                <w:lang w:eastAsia="nl-NL"/>
                <w14:ligatures w14:val="none"/>
              </w:rPr>
            </w:pPr>
          </w:p>
        </w:tc>
      </w:tr>
      <w:tr w:rsidR="00BB1056" w14:paraId="25AB0FBB" w14:textId="77777777">
        <w:trPr>
          <w:trHeight w:val="540"/>
        </w:trPr>
        <w:tc>
          <w:tcPr>
            <w:tcW w:w="9150" w:type="dxa"/>
            <w:vAlign w:val="center"/>
            <w:hideMark/>
          </w:tcPr>
          <w:p w14:paraId="3E783C38" w14:textId="77777777" w:rsidR="00BB1056" w:rsidRDefault="00BB1056">
            <w:pPr>
              <w:spacing w:line="252" w:lineRule="atLeast"/>
              <w:rPr>
                <w:color w:val="747474"/>
                <w:lang w:eastAsia="nl-NL"/>
                <w14:ligatures w14:val="none"/>
              </w:rPr>
            </w:pPr>
            <w:r>
              <w:rPr>
                <w:rFonts w:ascii="Calibri" w:hAnsi="Calibri" w:cs="Calibri"/>
                <w:color w:val="747474"/>
                <w:sz w:val="22"/>
                <w:szCs w:val="22"/>
                <w:lang w:eastAsia="nl-NL"/>
                <w14:ligatures w14:val="none"/>
              </w:rPr>
              <w:t>Beleidsadviseur Wonen</w:t>
            </w:r>
            <w:r>
              <w:rPr>
                <w:rFonts w:ascii="Calibri" w:hAnsi="Calibri" w:cs="Calibri"/>
                <w:color w:val="747474"/>
                <w:sz w:val="22"/>
                <w:szCs w:val="22"/>
                <w:lang w:eastAsia="nl-NL"/>
                <w14:ligatures w14:val="none"/>
              </w:rPr>
              <w:br/>
              <w:t>Team Economie &amp; Duurzaamheid</w:t>
            </w:r>
          </w:p>
        </w:tc>
      </w:tr>
    </w:tbl>
    <w:p w14:paraId="568659BE" w14:textId="77777777" w:rsidR="00DA546D" w:rsidRDefault="00DA546D"/>
    <w:sectPr w:rsidR="00DA54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2402D9"/>
    <w:multiLevelType w:val="hybridMultilevel"/>
    <w:tmpl w:val="E3F6D6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56622372"/>
    <w:multiLevelType w:val="hybridMultilevel"/>
    <w:tmpl w:val="2F342B8A"/>
    <w:lvl w:ilvl="0" w:tplc="6122CA44">
      <w:numFmt w:val="bullet"/>
      <w:lvlText w:val="-"/>
      <w:lvlJc w:val="left"/>
      <w:pPr>
        <w:ind w:left="720" w:hanging="360"/>
      </w:pPr>
      <w:rPr>
        <w:rFonts w:ascii="Nirmala UI" w:eastAsia="Aptos" w:hAnsi="Nirmala UI" w:cs="Nirmala U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93892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1505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056"/>
    <w:rsid w:val="005F5B33"/>
    <w:rsid w:val="00B34AEA"/>
    <w:rsid w:val="00B5126A"/>
    <w:rsid w:val="00BB1056"/>
    <w:rsid w:val="00DA546D"/>
    <w:rsid w:val="00EA58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618E"/>
  <w15:chartTrackingRefBased/>
  <w15:docId w15:val="{EB74DE36-EDAA-4B14-8F84-F13A8C1A8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1056"/>
    <w:pPr>
      <w:spacing w:after="0" w:line="240" w:lineRule="auto"/>
    </w:pPr>
    <w:rPr>
      <w:rFonts w:ascii="Aptos" w:hAnsi="Aptos" w:cs="Aptos"/>
      <w:kern w:val="0"/>
    </w:rPr>
  </w:style>
  <w:style w:type="paragraph" w:styleId="Kop1">
    <w:name w:val="heading 1"/>
    <w:basedOn w:val="Standaard"/>
    <w:next w:val="Standaard"/>
    <w:link w:val="Kop1Char"/>
    <w:uiPriority w:val="9"/>
    <w:qFormat/>
    <w:rsid w:val="00BB1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1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105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105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105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105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105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105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105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105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105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105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105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105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105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105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105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1056"/>
    <w:rPr>
      <w:rFonts w:eastAsiaTheme="majorEastAsia" w:cstheme="majorBidi"/>
      <w:color w:val="272727" w:themeColor="text1" w:themeTint="D8"/>
    </w:rPr>
  </w:style>
  <w:style w:type="paragraph" w:styleId="Titel">
    <w:name w:val="Title"/>
    <w:basedOn w:val="Standaard"/>
    <w:next w:val="Standaard"/>
    <w:link w:val="TitelChar"/>
    <w:uiPriority w:val="10"/>
    <w:qFormat/>
    <w:rsid w:val="00BB105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105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105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105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105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1056"/>
    <w:rPr>
      <w:i/>
      <w:iCs/>
      <w:color w:val="404040" w:themeColor="text1" w:themeTint="BF"/>
    </w:rPr>
  </w:style>
  <w:style w:type="paragraph" w:styleId="Lijstalinea">
    <w:name w:val="List Paragraph"/>
    <w:basedOn w:val="Standaard"/>
    <w:uiPriority w:val="34"/>
    <w:qFormat/>
    <w:rsid w:val="00BB1056"/>
    <w:pPr>
      <w:ind w:left="720"/>
      <w:contextualSpacing/>
    </w:pPr>
  </w:style>
  <w:style w:type="character" w:styleId="Intensievebenadrukking">
    <w:name w:val="Intense Emphasis"/>
    <w:basedOn w:val="Standaardalinea-lettertype"/>
    <w:uiPriority w:val="21"/>
    <w:qFormat/>
    <w:rsid w:val="00BB1056"/>
    <w:rPr>
      <w:i/>
      <w:iCs/>
      <w:color w:val="0F4761" w:themeColor="accent1" w:themeShade="BF"/>
    </w:rPr>
  </w:style>
  <w:style w:type="paragraph" w:styleId="Duidelijkcitaat">
    <w:name w:val="Intense Quote"/>
    <w:basedOn w:val="Standaard"/>
    <w:next w:val="Standaard"/>
    <w:link w:val="DuidelijkcitaatChar"/>
    <w:uiPriority w:val="30"/>
    <w:qFormat/>
    <w:rsid w:val="00BB1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1056"/>
    <w:rPr>
      <w:i/>
      <w:iCs/>
      <w:color w:val="0F4761" w:themeColor="accent1" w:themeShade="BF"/>
    </w:rPr>
  </w:style>
  <w:style w:type="character" w:styleId="Intensieveverwijzing">
    <w:name w:val="Intense Reference"/>
    <w:basedOn w:val="Standaardalinea-lettertype"/>
    <w:uiPriority w:val="32"/>
    <w:qFormat/>
    <w:rsid w:val="00BB1056"/>
    <w:rPr>
      <w:b/>
      <w:bCs/>
      <w:smallCaps/>
      <w:color w:val="0F4761" w:themeColor="accent1" w:themeShade="BF"/>
      <w:spacing w:val="5"/>
    </w:rPr>
  </w:style>
  <w:style w:type="character" w:styleId="Hyperlink">
    <w:name w:val="Hyperlink"/>
    <w:basedOn w:val="Standaardalinea-lettertype"/>
    <w:uiPriority w:val="99"/>
    <w:semiHidden/>
    <w:unhideWhenUsed/>
    <w:rsid w:val="00BB105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plo.nl/regelgeving/instrumenten/omgevingsplan/wijzigen-omgevingsplan/aanleiding-wijzigen-omgevingsplan/bestaande-gemeentelijke-verordeningen/"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CE38AD357F2E4CB68952F8481A18D2" ma:contentTypeVersion="15" ma:contentTypeDescription="Een nieuw document maken." ma:contentTypeScope="" ma:versionID="06a3614d8efefa41a2b20906a77bd6fb">
  <xsd:schema xmlns:xsd="http://www.w3.org/2001/XMLSchema" xmlns:xs="http://www.w3.org/2001/XMLSchema" xmlns:p="http://schemas.microsoft.com/office/2006/metadata/properties" xmlns:ns2="55561b3f-fb62-48aa-9ee3-556bc83bd06d" xmlns:ns3="e7a7e72e-638e-4e96-ba7a-badc2ef70bb1" targetNamespace="http://schemas.microsoft.com/office/2006/metadata/properties" ma:root="true" ma:fieldsID="c66c675a47e436751dc146b8baefa828" ns2:_="" ns3:_="">
    <xsd:import namespace="55561b3f-fb62-48aa-9ee3-556bc83bd06d"/>
    <xsd:import namespace="e7a7e72e-638e-4e96-ba7a-badc2ef70b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61b3f-fb62-48aa-9ee3-556bc83bd0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6d9f127d-9b8c-4216-9355-9579a08346d8"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7e72e-638e-4e96-ba7a-badc2ef70b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23e2a1e-3b61-4cae-b971-33c1e23c4a87}" ma:internalName="TaxCatchAll" ma:showField="CatchAllData" ma:web="e7a7e72e-638e-4e96-ba7a-badc2ef70bb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a7e72e-638e-4e96-ba7a-badc2ef70bb1" xsi:nil="true"/>
    <lcf76f155ced4ddcb4097134ff3c332f xmlns="55561b3f-fb62-48aa-9ee3-556bc83bd0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0418B0-4EE1-4B03-B597-2FF6ACB0C709}"/>
</file>

<file path=customXml/itemProps2.xml><?xml version="1.0" encoding="utf-8"?>
<ds:datastoreItem xmlns:ds="http://schemas.openxmlformats.org/officeDocument/2006/customXml" ds:itemID="{580601BE-3E8B-4E26-B511-9A74C1A457F2}"/>
</file>

<file path=customXml/itemProps3.xml><?xml version="1.0" encoding="utf-8"?>
<ds:datastoreItem xmlns:ds="http://schemas.openxmlformats.org/officeDocument/2006/customXml" ds:itemID="{60321C9F-15A8-42FE-B38B-DBA444A569A7}"/>
</file>

<file path=docMetadata/LabelInfo.xml><?xml version="1.0" encoding="utf-8"?>
<clbl:labelList xmlns:clbl="http://schemas.microsoft.com/office/2020/mipLabelMetadata">
  <clbl:label id="{f14b6649-076c-4ae5-a6f8-74c25204542e}" enabled="0" method="" siteId="{f14b6649-076c-4ae5-a6f8-74c25204542e}"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1786</Words>
  <Characters>9827</Characters>
  <Application>Microsoft Office Word</Application>
  <DocSecurity>0</DocSecurity>
  <Lines>81</Lines>
  <Paragraphs>23</Paragraphs>
  <ScaleCrop>false</ScaleCrop>
  <Company/>
  <LinksUpToDate>false</LinksUpToDate>
  <CharactersWithSpaces>11590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van Lierop</dc:creator>
  <cp:keywords/>
  <dc:description/>
  <cp:lastModifiedBy>Nicole van Lierop</cp:lastModifiedBy>
  <cp:revision>2</cp:revision>
  <dcterms:created xsi:type="dcterms:W3CDTF">2026-04-20T10:01:00Z</dcterms:created>
  <dcterms:modified xsi:type="dcterms:W3CDTF">2026-04-20T11:44:00Z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0x010100D2CE38AD357F2E4CB68952F8481A18D2</vt:lpwstr>
  </property>
</Properties>
</file>